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6E" w:rsidRPr="001440A1" w:rsidRDefault="00DF516E" w:rsidP="00DF516E">
      <w:pPr>
        <w:pStyle w:val="GlAlnt"/>
      </w:pPr>
      <w:r w:rsidRPr="001440A1">
        <w:t>YÜZME HAVUZLARININ TABİ OLACAĞI SAĞLIK ESASLARI</w:t>
      </w:r>
    </w:p>
    <w:p w:rsidR="00DF516E" w:rsidRPr="00FE730A" w:rsidRDefault="00DF516E" w:rsidP="00DF516E">
      <w:pPr>
        <w:pStyle w:val="GlAlnt"/>
      </w:pPr>
      <w:r w:rsidRPr="001440A1">
        <w:t>VE ŞARTLARI HAKKINDA YÖNETMELİK-2017</w:t>
      </w:r>
    </w:p>
    <w:p w:rsidR="00DF516E" w:rsidRPr="00DF516E" w:rsidRDefault="00DF516E" w:rsidP="00DF516E">
      <w:pPr>
        <w:rPr>
          <w:i/>
          <w:u w:val="single"/>
        </w:rPr>
      </w:pPr>
      <w:r>
        <w:t xml:space="preserve">Yüzme havuzunun açık olduğu süre içerisinde yüzme havuzu suyuna ait sıcaklık, pH, serbest klor değerleri ile suyun mikrobiyolojik özelliklerine ait en son analiz sonuçları kullanıcıların görebileceği bir </w:t>
      </w:r>
      <w:r w:rsidRPr="001440A1">
        <w:rPr>
          <w:i/>
          <w:u w:val="single"/>
        </w:rPr>
        <w:t xml:space="preserve">panoda yazıyla veya elektronik olarak ilan edilir. </w:t>
      </w:r>
      <w:r>
        <w:rPr>
          <w:i/>
          <w:u w:val="single"/>
        </w:rPr>
        <w:br/>
      </w:r>
    </w:p>
    <w:p w:rsidR="00DF516E" w:rsidRPr="00DF516E" w:rsidRDefault="00DF516E" w:rsidP="00DF516E">
      <w:pPr>
        <w:pStyle w:val="Balk2"/>
        <w:rPr>
          <w:rStyle w:val="KitapBal"/>
        </w:rPr>
      </w:pPr>
      <w:r w:rsidRPr="00DF516E">
        <w:rPr>
          <w:rStyle w:val="KitapBal"/>
        </w:rPr>
        <w:t>NUMUNE ALMA, TAŞIMA VE ANALİZ LABORATUVAR</w:t>
      </w:r>
    </w:p>
    <w:p w:rsidR="00DF516E" w:rsidRDefault="00DF516E" w:rsidP="00DF516E">
      <w:r>
        <w:t xml:space="preserve">Numune alma, taşıma ve analiz laboratuvarları </w:t>
      </w:r>
    </w:p>
    <w:p w:rsidR="00DF516E" w:rsidRDefault="00DF516E" w:rsidP="00DF516E">
      <w:r>
        <w:t xml:space="preserve"> Numuneler su akımının en düşük olduğu veya kullanıcıların en yoğun olduğu bölgeden yüzme havuzu kenarının yaklaşık 50 cm uzağından ve su yüzeyinin 20 cm altından alınır.</w:t>
      </w:r>
      <w:r>
        <w:br/>
      </w:r>
    </w:p>
    <w:p w:rsidR="00DF516E" w:rsidRPr="00DF516E" w:rsidRDefault="00DF516E" w:rsidP="00DF516E">
      <w:pPr>
        <w:pStyle w:val="Balk2"/>
        <w:rPr>
          <w:rStyle w:val="KitapBal"/>
        </w:rPr>
      </w:pPr>
      <w:r w:rsidRPr="00DF516E">
        <w:rPr>
          <w:rStyle w:val="KitapBal"/>
        </w:rPr>
        <w:t xml:space="preserve">YÜZME HAVUZUNUN İŞLETİLMESİ </w:t>
      </w:r>
    </w:p>
    <w:p w:rsidR="00DF516E" w:rsidRDefault="00DF516E" w:rsidP="00DF516E">
      <w:r>
        <w:t xml:space="preserve">Yüzme havuzunun teknik özellikleri ile yüzme havuzu suyunun, sıhhi kurallara uygun olması esastır. </w:t>
      </w:r>
    </w:p>
    <w:p w:rsidR="00DF516E" w:rsidRDefault="00DF516E" w:rsidP="00DF516E">
      <w:r>
        <w:t xml:space="preserve">Yüzme havuzunun işletilmesinde aşağıdaki şartlara uyulur: </w:t>
      </w:r>
    </w:p>
    <w:p w:rsidR="00DF516E" w:rsidRDefault="00DF516E" w:rsidP="00DF516E">
      <w:r>
        <w:t>a) Yüzme havuzu işleticisi, teknik işler ve havuzun uygun şekilde işletilmesinden sorumlu kimya veya sağlık eğitimi almış, en az lise mezunu bir kişi ve sertifikalı bir cankurtaran istihdam etmek zorundadır.</w:t>
      </w:r>
    </w:p>
    <w:p w:rsidR="00DF516E" w:rsidRDefault="00DF516E" w:rsidP="00DF516E">
      <w:r>
        <w:t xml:space="preserve"> b) Yüzme havuzunda ip, yüzer duba, simit gibi can kurtarmaya mahsus malzemeler ile ilkyardım malzemeleri hazır bulundurulur.</w:t>
      </w:r>
    </w:p>
    <w:p w:rsidR="00DF516E" w:rsidRPr="00707C2E" w:rsidRDefault="00DF516E" w:rsidP="00DF516E">
      <w:r>
        <w:t xml:space="preserve"> c) Kullanıcıların temiz mayolarla yüzme havuzuna girmeleri sağlanır. Tesisler, bütün kullanıcıların soyunma odaları için ayrılan mekâna girmeden önce ayak dezenfeksiyonu yapmalarını, soyunma odalarından yüzme havuzuna geçişlerinden önce de duş almalarını sağlayacak şekilde düzenlenir. ç) Yüzme havuzunda hayvanların insanlarla birlikte bulunmalarına hiçbir şekilde izin verilmez. </w:t>
      </w:r>
    </w:p>
    <w:p w:rsidR="00DF516E" w:rsidRDefault="00DF516E" w:rsidP="00DF516E">
      <w:r>
        <w:t>d) Tesis içerisinde riayet edilecek kurallar ile muhtemel tehlikelere karşı kişileri uyarmak amacı ile hazırlanan uyarı levhaları kolayca görülebilecek ve okunabilecek uygun yerlerde bulundurulur.</w:t>
      </w:r>
    </w:p>
    <w:p w:rsidR="00DF516E" w:rsidRDefault="00DF516E" w:rsidP="00DF516E">
      <w:r>
        <w:t xml:space="preserve"> e) Yüzme havuzu suyu yılda en az bir defa boşaltılarak genel temizlik yapılır. f) Fiziki mekânlar daima temiz ve kuru tutularak kapanma saatinden sonra havuz dip temizliği dâhil genel temizlik yapılır.</w:t>
      </w:r>
    </w:p>
    <w:p w:rsidR="00DF516E" w:rsidRDefault="00DF516E" w:rsidP="00DF516E">
      <w:r>
        <w:t xml:space="preserve"> g)Havuz defteri olmalı. Bu deftere değerler ve havuz tarihi yazılmalı.</w:t>
      </w:r>
    </w:p>
    <w:p w:rsidR="00DF516E" w:rsidRPr="00707C2E" w:rsidRDefault="00DF516E" w:rsidP="00DF516E"/>
    <w:p w:rsidR="00DF516E" w:rsidRDefault="00DF516E" w:rsidP="00DF516E"/>
    <w:p w:rsidR="00DF516E" w:rsidRPr="00220850" w:rsidRDefault="00DF516E" w:rsidP="00DF516E">
      <w:pPr>
        <w:pStyle w:val="Balk2"/>
        <w:rPr>
          <w:rStyle w:val="Gl"/>
        </w:rPr>
      </w:pPr>
      <w:r w:rsidRPr="00220850">
        <w:rPr>
          <w:rStyle w:val="Gl"/>
        </w:rPr>
        <w:lastRenderedPageBreak/>
        <w:t xml:space="preserve">MUHTELİF HÜKÜMLER FİZİKİ MEKÂNLAR </w:t>
      </w:r>
    </w:p>
    <w:p w:rsidR="00DF516E" w:rsidRDefault="00DF516E" w:rsidP="00DF516E">
      <w:r>
        <w:t xml:space="preserve">Duş yerleri, tuvaletler ve soyunma-giyinme yerleri, kadın ve erkek için ayrı düzenlenir. </w:t>
      </w:r>
    </w:p>
    <w:p w:rsidR="00DF516E" w:rsidRDefault="00DF516E" w:rsidP="00DF516E">
      <w:r>
        <w:t>Duş yerleri duş suyunun sıcaklığı ayarlanabilecek şekilde ve en az yirmi kişiye bir duş düşecek şekilde düzenlenir.</w:t>
      </w:r>
    </w:p>
    <w:p w:rsidR="00DF516E" w:rsidRDefault="00DF516E" w:rsidP="00DF516E">
      <w:r>
        <w:t>Tuvaletler soyunma ve duş yerlerine yakın konumda, en az yirmi kişiye bir tuvalet düşecek şekilde düzenlenir. Tuvalet ve lavabolarda bol ve temiz su, sıvı sabun, tuvalet kâğıdı, kâğıt havlu ve çöp kovası bulundurulur.</w:t>
      </w:r>
    </w:p>
    <w:p w:rsidR="00DF516E" w:rsidRPr="001440A1" w:rsidRDefault="00DF516E" w:rsidP="00DF516E">
      <w:r>
        <w:t xml:space="preserve"> Girişi ve yolları tamamen ayrı tutulan seyirci yerleri, seyircilerin havuz kısmına girmelerini engelleyecek şekilde düzenlenir. Seyirci bölümünde seyircilerin ihtiyacını karşılayacak kadar tuvalet, lavabo ve pisuar bulundurulur.</w:t>
      </w:r>
      <w:r>
        <w:br/>
      </w:r>
    </w:p>
    <w:p w:rsidR="00DF516E" w:rsidRPr="00DF516E" w:rsidRDefault="00DF516E" w:rsidP="00DF516E">
      <w:pPr>
        <w:rPr>
          <w:rStyle w:val="Gl"/>
        </w:rPr>
      </w:pPr>
      <w:r w:rsidRPr="00DF516E">
        <w:rPr>
          <w:rStyle w:val="Gl"/>
        </w:rPr>
        <w:t xml:space="preserve"> GÜVENLİK TEDBİRLERİ </w:t>
      </w:r>
    </w:p>
    <w:p w:rsidR="00DF516E" w:rsidRDefault="00DF516E" w:rsidP="00DF516E">
      <w:r>
        <w:t>1) Yüzme havuzunda kazaların önlenmesi ve güvenliğin sağlanması için aşağıda belirtilen kurallara uyulur.</w:t>
      </w:r>
    </w:p>
    <w:p w:rsidR="00DF516E" w:rsidRDefault="00DF516E" w:rsidP="00DF516E">
      <w:r>
        <w:t xml:space="preserve">a) Yüzme havuzu kazalara neden olmayacak ve kenarında güvenli yürümek için yeterli alan bulunacak şekilde planlanır. Dalmak için gerekli olan su derinliği sağlanır. Aksi takdirde her türlü dalışa izin verilmez. </w:t>
      </w:r>
    </w:p>
    <w:p w:rsidR="00DF516E" w:rsidRDefault="00DF516E" w:rsidP="00DF516E">
      <w:r>
        <w:t xml:space="preserve">b) Yüzme havuzu çevresindeki yürüme alanı, duş yeri ve çevresinin zemini düzgün ve kaymaya yol açmayan malzemeden yapılır. </w:t>
      </w:r>
    </w:p>
    <w:p w:rsidR="00DF516E" w:rsidRPr="001440A1" w:rsidRDefault="00DF516E" w:rsidP="00DF516E">
      <w:pPr>
        <w:rPr>
          <w:i/>
          <w:u w:val="single"/>
        </w:rPr>
      </w:pPr>
      <w:r>
        <w:t xml:space="preserve">ç) Havuz derinlikleri kullanıcıların görebileceği şekilde havuz kenarına </w:t>
      </w:r>
      <w:r w:rsidRPr="001440A1">
        <w:rPr>
          <w:i/>
          <w:u w:val="single"/>
        </w:rPr>
        <w:t>en az 4 yönde yazılır.</w:t>
      </w:r>
    </w:p>
    <w:p w:rsidR="00DF516E" w:rsidRDefault="00DF516E" w:rsidP="00DF516E">
      <w:r>
        <w:t>d) Yüzme havuzu kenarında acil durumlarda kullanılmak üzere telefon bulundurulur.</w:t>
      </w:r>
      <w:r>
        <w:br/>
      </w:r>
    </w:p>
    <w:p w:rsidR="00DF516E" w:rsidRPr="00DF516E" w:rsidRDefault="00DF516E" w:rsidP="00DF516E">
      <w:pPr>
        <w:rPr>
          <w:rStyle w:val="Gl"/>
        </w:rPr>
      </w:pPr>
      <w:r w:rsidRPr="00DF516E">
        <w:rPr>
          <w:rStyle w:val="Gl"/>
        </w:rPr>
        <w:t>DENETLEME</w:t>
      </w:r>
    </w:p>
    <w:p w:rsidR="00DF516E" w:rsidRDefault="00DF516E" w:rsidP="00DF516E">
      <w:r>
        <w:t xml:space="preserve">1) Yüzme havuzu, havuz suyu ve havuz kimyasalları her ay Müdürlük tarafından denetlenir. Bu denetimlerde; </w:t>
      </w:r>
    </w:p>
    <w:p w:rsidR="00DF516E" w:rsidRDefault="00DF516E" w:rsidP="00DF516E">
      <w:r>
        <w:t>a) Havuz suyu hazırlanmasında ve dezenfeksiyonunda kullanılan kimyasalların Bakanlıktan ruhsatlı olup olmadığı,</w:t>
      </w:r>
    </w:p>
    <w:p w:rsidR="00DF516E" w:rsidRDefault="00DF516E" w:rsidP="00DF516E">
      <w:r>
        <w:t xml:space="preserve"> b) Havuz suyu kimyasalları için bir depo ile yeterli kişisel koruyucu donanım bulunup bulunmadığı, </w:t>
      </w:r>
    </w:p>
    <w:p w:rsidR="00DF516E" w:rsidRDefault="00DF516E" w:rsidP="00DF516E">
      <w:r>
        <w:t>c) Analiz kayıt defterleri ve bu Yönetmelik eklerine göre yapılan veya yaptırılan analiz sonuçları, kontrol edilir. (2) Bir takvim yılı sonunda yapılan değerlendirmede havuz ve havuz suyu kalitesinin bu Yönetmelikte belirlenen şartlara uygun olması durumunda Ek-5’te yer alan “Temiz Havuz Sertifikası” Müdürlük tarafından düzenlenir. Yapılacak denetimlerde havuz ve havuz suyu kalitesinin bu Yönetmelikte belirlenen şartlara uygun olmaması durumunda bu sertifika Müdürlükçe iptal edilir. Uygun çıkmayan havuz kapatılır.</w:t>
      </w:r>
    </w:p>
    <w:p w:rsidR="00DF516E" w:rsidRPr="00DF516E" w:rsidRDefault="00030E58" w:rsidP="00DF516E">
      <w:pPr>
        <w:pStyle w:val="GvdeMetni"/>
        <w:spacing w:after="0"/>
        <w:ind w:hanging="144"/>
        <w:jc w:val="center"/>
        <w:rPr>
          <w:rStyle w:val="HafifVurgulama"/>
        </w:rPr>
      </w:pPr>
      <w:r>
        <w:rPr>
          <w:rStyle w:val="HafifVurgulama"/>
        </w:rPr>
        <w:lastRenderedPageBreak/>
        <w:br/>
      </w:r>
      <w:r w:rsidR="00DF516E" w:rsidRPr="00DF516E">
        <w:rPr>
          <w:rStyle w:val="HafifVurgulama"/>
        </w:rPr>
        <w:t>Ek–1</w:t>
      </w:r>
      <w:r w:rsidR="00DF516E">
        <w:rPr>
          <w:rStyle w:val="HafifVurgulama"/>
        </w:rPr>
        <w:t xml:space="preserve"> </w:t>
      </w:r>
      <w:r w:rsidR="00DF516E">
        <w:rPr>
          <w:rStyle w:val="HafifVurgulama"/>
        </w:rPr>
        <w:br/>
      </w:r>
      <w:r w:rsidR="00DF516E" w:rsidRPr="00DF516E">
        <w:rPr>
          <w:rStyle w:val="HafifVurgulama"/>
        </w:rPr>
        <w:t>Kimyasal Özellikler</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8"/>
        <w:gridCol w:w="1874"/>
        <w:gridCol w:w="1276"/>
        <w:gridCol w:w="1134"/>
        <w:gridCol w:w="1275"/>
      </w:tblGrid>
      <w:tr w:rsidR="00DF516E" w:rsidRPr="007546C8" w:rsidTr="00C52368">
        <w:trPr>
          <w:trHeight w:val="315"/>
        </w:trPr>
        <w:tc>
          <w:tcPr>
            <w:tcW w:w="3528" w:type="dxa"/>
            <w:vMerge w:val="restart"/>
            <w:shd w:val="clear" w:color="auto" w:fill="auto"/>
            <w:vAlign w:val="center"/>
          </w:tcPr>
          <w:p w:rsidR="00DF516E" w:rsidRPr="007546C8" w:rsidRDefault="00DF516E" w:rsidP="00C52368">
            <w:pPr>
              <w:jc w:val="center"/>
              <w:rPr>
                <w:b/>
                <w:bCs/>
              </w:rPr>
            </w:pPr>
            <w:r w:rsidRPr="007546C8">
              <w:rPr>
                <w:b/>
                <w:bCs/>
              </w:rPr>
              <w:t>Parametre</w:t>
            </w:r>
          </w:p>
        </w:tc>
        <w:tc>
          <w:tcPr>
            <w:tcW w:w="1874" w:type="dxa"/>
            <w:vMerge w:val="restart"/>
            <w:shd w:val="clear" w:color="auto" w:fill="auto"/>
            <w:vAlign w:val="center"/>
          </w:tcPr>
          <w:p w:rsidR="00DF516E" w:rsidRPr="007546C8" w:rsidRDefault="00DF516E" w:rsidP="00C52368">
            <w:pPr>
              <w:jc w:val="center"/>
              <w:rPr>
                <w:b/>
                <w:bCs/>
              </w:rPr>
            </w:pPr>
            <w:r w:rsidRPr="007546C8">
              <w:rPr>
                <w:b/>
                <w:bCs/>
              </w:rPr>
              <w:t>Analiz Aralığı</w:t>
            </w:r>
          </w:p>
        </w:tc>
        <w:tc>
          <w:tcPr>
            <w:tcW w:w="1276" w:type="dxa"/>
            <w:vMerge w:val="restart"/>
            <w:shd w:val="clear" w:color="auto" w:fill="auto"/>
            <w:vAlign w:val="center"/>
          </w:tcPr>
          <w:p w:rsidR="00DF516E" w:rsidRPr="007546C8" w:rsidRDefault="00DF516E" w:rsidP="00C52368">
            <w:pPr>
              <w:jc w:val="center"/>
              <w:rPr>
                <w:b/>
                <w:bCs/>
              </w:rPr>
            </w:pPr>
            <w:r w:rsidRPr="007546C8">
              <w:rPr>
                <w:b/>
                <w:bCs/>
              </w:rPr>
              <w:t>Birim</w:t>
            </w:r>
          </w:p>
        </w:tc>
        <w:tc>
          <w:tcPr>
            <w:tcW w:w="2409" w:type="dxa"/>
            <w:gridSpan w:val="2"/>
            <w:shd w:val="clear" w:color="auto" w:fill="auto"/>
            <w:vAlign w:val="center"/>
          </w:tcPr>
          <w:p w:rsidR="00DF516E" w:rsidRPr="007546C8" w:rsidRDefault="00DF516E" w:rsidP="00C52368">
            <w:pPr>
              <w:jc w:val="center"/>
              <w:rPr>
                <w:b/>
                <w:bCs/>
              </w:rPr>
            </w:pPr>
            <w:r w:rsidRPr="007546C8">
              <w:rPr>
                <w:b/>
                <w:bCs/>
              </w:rPr>
              <w:t>Sınır Değerler</w:t>
            </w:r>
          </w:p>
        </w:tc>
      </w:tr>
      <w:tr w:rsidR="00DF516E" w:rsidRPr="007546C8" w:rsidTr="00C52368">
        <w:trPr>
          <w:trHeight w:val="138"/>
        </w:trPr>
        <w:tc>
          <w:tcPr>
            <w:tcW w:w="3528" w:type="dxa"/>
            <w:vMerge/>
            <w:vAlign w:val="center"/>
          </w:tcPr>
          <w:p w:rsidR="00DF516E" w:rsidRPr="007546C8" w:rsidRDefault="00DF516E" w:rsidP="00C52368">
            <w:pPr>
              <w:rPr>
                <w:b/>
                <w:bCs/>
              </w:rPr>
            </w:pPr>
          </w:p>
        </w:tc>
        <w:tc>
          <w:tcPr>
            <w:tcW w:w="1874" w:type="dxa"/>
            <w:vMerge/>
            <w:vAlign w:val="center"/>
          </w:tcPr>
          <w:p w:rsidR="00DF516E" w:rsidRPr="007546C8" w:rsidRDefault="00DF516E" w:rsidP="00C52368">
            <w:pPr>
              <w:rPr>
                <w:b/>
                <w:bCs/>
              </w:rPr>
            </w:pPr>
          </w:p>
        </w:tc>
        <w:tc>
          <w:tcPr>
            <w:tcW w:w="1276" w:type="dxa"/>
            <w:vMerge/>
            <w:shd w:val="clear" w:color="auto" w:fill="auto"/>
            <w:vAlign w:val="center"/>
          </w:tcPr>
          <w:p w:rsidR="00DF516E" w:rsidRPr="007546C8" w:rsidRDefault="00DF516E" w:rsidP="00C52368">
            <w:pPr>
              <w:jc w:val="center"/>
              <w:rPr>
                <w:b/>
                <w:bCs/>
              </w:rPr>
            </w:pPr>
          </w:p>
        </w:tc>
        <w:tc>
          <w:tcPr>
            <w:tcW w:w="1134" w:type="dxa"/>
            <w:shd w:val="clear" w:color="auto" w:fill="auto"/>
            <w:vAlign w:val="center"/>
          </w:tcPr>
          <w:p w:rsidR="00DF516E" w:rsidRPr="007546C8" w:rsidRDefault="00DF516E" w:rsidP="00C52368">
            <w:pPr>
              <w:jc w:val="center"/>
              <w:rPr>
                <w:b/>
                <w:bCs/>
              </w:rPr>
            </w:pPr>
            <w:r w:rsidRPr="007546C8">
              <w:rPr>
                <w:b/>
                <w:bCs/>
              </w:rPr>
              <w:t>En az</w:t>
            </w:r>
          </w:p>
        </w:tc>
        <w:tc>
          <w:tcPr>
            <w:tcW w:w="1275" w:type="dxa"/>
            <w:shd w:val="clear" w:color="auto" w:fill="auto"/>
            <w:vAlign w:val="center"/>
          </w:tcPr>
          <w:p w:rsidR="00DF516E" w:rsidRPr="007546C8" w:rsidRDefault="00DF516E" w:rsidP="00C52368">
            <w:pPr>
              <w:jc w:val="center"/>
              <w:rPr>
                <w:b/>
                <w:bCs/>
              </w:rPr>
            </w:pPr>
            <w:r w:rsidRPr="007546C8">
              <w:rPr>
                <w:b/>
                <w:bCs/>
              </w:rPr>
              <w:t>En çok</w:t>
            </w:r>
          </w:p>
        </w:tc>
      </w:tr>
      <w:tr w:rsidR="00DF516E" w:rsidRPr="007546C8" w:rsidTr="00C52368">
        <w:trPr>
          <w:trHeight w:val="405"/>
        </w:trPr>
        <w:tc>
          <w:tcPr>
            <w:tcW w:w="3528" w:type="dxa"/>
            <w:shd w:val="clear" w:color="auto" w:fill="auto"/>
            <w:vAlign w:val="center"/>
          </w:tcPr>
          <w:p w:rsidR="00DF516E" w:rsidRPr="007546C8" w:rsidRDefault="00DF516E" w:rsidP="00C52368">
            <w:r w:rsidRPr="007546C8">
              <w:t xml:space="preserve">Siyanürik asit </w:t>
            </w:r>
            <w:r w:rsidRPr="007546C8">
              <w:rPr>
                <w:vertAlign w:val="superscript"/>
              </w:rPr>
              <w:t>(</w:t>
            </w:r>
            <w:r w:rsidRPr="007546C8">
              <w:rPr>
                <w:b/>
                <w:vertAlign w:val="superscript"/>
              </w:rPr>
              <w:t>1)</w:t>
            </w:r>
          </w:p>
        </w:tc>
        <w:tc>
          <w:tcPr>
            <w:tcW w:w="1874" w:type="dxa"/>
            <w:vMerge w:val="restart"/>
            <w:shd w:val="clear" w:color="auto" w:fill="auto"/>
            <w:vAlign w:val="center"/>
          </w:tcPr>
          <w:p w:rsidR="00DF516E" w:rsidRPr="007546C8" w:rsidRDefault="00DF516E" w:rsidP="00C52368">
            <w:pPr>
              <w:jc w:val="center"/>
            </w:pPr>
            <w:r w:rsidRPr="007546C8">
              <w:t>Ayda bir defa</w:t>
            </w:r>
          </w:p>
        </w:tc>
        <w:tc>
          <w:tcPr>
            <w:tcW w:w="1276" w:type="dxa"/>
            <w:vMerge w:val="restart"/>
            <w:shd w:val="clear" w:color="auto" w:fill="auto"/>
            <w:vAlign w:val="center"/>
          </w:tcPr>
          <w:p w:rsidR="00DF516E" w:rsidRPr="007546C8" w:rsidRDefault="00DF516E" w:rsidP="00C52368">
            <w:pPr>
              <w:jc w:val="center"/>
            </w:pPr>
            <w:proofErr w:type="gramStart"/>
            <w:r w:rsidRPr="007546C8">
              <w:t>mg</w:t>
            </w:r>
            <w:proofErr w:type="gramEnd"/>
            <w:r w:rsidRPr="007546C8">
              <w:t>/L</w:t>
            </w:r>
          </w:p>
        </w:tc>
        <w:tc>
          <w:tcPr>
            <w:tcW w:w="1134" w:type="dxa"/>
            <w:shd w:val="clear" w:color="auto" w:fill="auto"/>
            <w:vAlign w:val="center"/>
          </w:tcPr>
          <w:p w:rsidR="00DF516E" w:rsidRPr="007546C8" w:rsidRDefault="00DF516E" w:rsidP="00C52368">
            <w:pPr>
              <w:jc w:val="center"/>
            </w:pPr>
            <w:r w:rsidRPr="007546C8">
              <w:t>-</w:t>
            </w:r>
          </w:p>
        </w:tc>
        <w:tc>
          <w:tcPr>
            <w:tcW w:w="1275" w:type="dxa"/>
            <w:shd w:val="clear" w:color="auto" w:fill="auto"/>
            <w:vAlign w:val="center"/>
          </w:tcPr>
          <w:p w:rsidR="00DF516E" w:rsidRPr="007546C8" w:rsidRDefault="00DF516E" w:rsidP="00C52368">
            <w:pPr>
              <w:jc w:val="center"/>
            </w:pPr>
            <w:r w:rsidRPr="007546C8">
              <w:t>100</w:t>
            </w:r>
          </w:p>
        </w:tc>
      </w:tr>
      <w:tr w:rsidR="00DF516E" w:rsidRPr="007546C8" w:rsidTr="00C52368">
        <w:trPr>
          <w:trHeight w:val="405"/>
        </w:trPr>
        <w:tc>
          <w:tcPr>
            <w:tcW w:w="3528" w:type="dxa"/>
            <w:shd w:val="clear" w:color="auto" w:fill="auto"/>
            <w:vAlign w:val="center"/>
          </w:tcPr>
          <w:p w:rsidR="00DF516E" w:rsidRPr="007546C8" w:rsidRDefault="00DF516E" w:rsidP="00C52368">
            <w:r w:rsidRPr="007546C8">
              <w:t>Biguanid</w:t>
            </w:r>
            <w:r w:rsidRPr="007546C8">
              <w:rPr>
                <w:vertAlign w:val="superscript"/>
              </w:rPr>
              <w:t>2</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2</w:t>
            </w:r>
          </w:p>
        </w:tc>
        <w:tc>
          <w:tcPr>
            <w:tcW w:w="1275" w:type="dxa"/>
            <w:shd w:val="clear" w:color="auto" w:fill="auto"/>
            <w:vAlign w:val="center"/>
          </w:tcPr>
          <w:p w:rsidR="00DF516E" w:rsidRPr="007546C8" w:rsidRDefault="00DF516E" w:rsidP="00C52368">
            <w:pPr>
              <w:jc w:val="center"/>
            </w:pPr>
            <w:r w:rsidRPr="007546C8">
              <w:t>30</w:t>
            </w:r>
          </w:p>
        </w:tc>
      </w:tr>
      <w:tr w:rsidR="00DF516E" w:rsidRPr="007546C8" w:rsidTr="00C52368">
        <w:trPr>
          <w:trHeight w:val="405"/>
        </w:trPr>
        <w:tc>
          <w:tcPr>
            <w:tcW w:w="3528" w:type="dxa"/>
            <w:shd w:val="clear" w:color="auto" w:fill="auto"/>
            <w:vAlign w:val="center"/>
          </w:tcPr>
          <w:p w:rsidR="00DF516E" w:rsidRPr="007546C8" w:rsidRDefault="00DF516E" w:rsidP="00C52368">
            <w:r w:rsidRPr="007546C8">
              <w:rPr>
                <w:bCs/>
              </w:rPr>
              <w:t xml:space="preserve">Hidrojen </w:t>
            </w:r>
            <w:proofErr w:type="spellStart"/>
            <w:r w:rsidRPr="007546C8">
              <w:rPr>
                <w:bCs/>
              </w:rPr>
              <w:t>Peroksid</w:t>
            </w:r>
            <w:proofErr w:type="spellEnd"/>
            <w:r w:rsidRPr="007546C8">
              <w:rPr>
                <w:bCs/>
              </w:rPr>
              <w:t xml:space="preserve"> </w:t>
            </w:r>
            <w:r w:rsidRPr="007546C8">
              <w:rPr>
                <w:bCs/>
                <w:vertAlign w:val="superscript"/>
              </w:rPr>
              <w:t>(2)</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rPr>
                <w:bCs/>
              </w:rPr>
            </w:pPr>
            <w:r w:rsidRPr="007546C8">
              <w:rPr>
                <w:bCs/>
              </w:rPr>
              <w:t>40</w:t>
            </w:r>
          </w:p>
        </w:tc>
        <w:tc>
          <w:tcPr>
            <w:tcW w:w="1275" w:type="dxa"/>
            <w:shd w:val="clear" w:color="auto" w:fill="auto"/>
            <w:vAlign w:val="center"/>
          </w:tcPr>
          <w:p w:rsidR="00DF516E" w:rsidRPr="007546C8" w:rsidRDefault="00DF516E" w:rsidP="00C52368">
            <w:pPr>
              <w:jc w:val="center"/>
              <w:rPr>
                <w:bCs/>
              </w:rPr>
            </w:pPr>
            <w:r w:rsidRPr="007546C8">
              <w:rPr>
                <w:bCs/>
              </w:rPr>
              <w:t>80</w:t>
            </w:r>
          </w:p>
        </w:tc>
      </w:tr>
      <w:tr w:rsidR="00DF516E" w:rsidRPr="007546C8" w:rsidTr="00C52368">
        <w:trPr>
          <w:trHeight w:val="405"/>
        </w:trPr>
        <w:tc>
          <w:tcPr>
            <w:tcW w:w="3528" w:type="dxa"/>
            <w:shd w:val="clear" w:color="auto" w:fill="auto"/>
            <w:vAlign w:val="center"/>
          </w:tcPr>
          <w:p w:rsidR="00DF516E" w:rsidRPr="007546C8" w:rsidRDefault="00DF516E" w:rsidP="00C52368">
            <w:proofErr w:type="spellStart"/>
            <w:r w:rsidRPr="007546C8">
              <w:t>pH</w:t>
            </w:r>
            <w:proofErr w:type="spellEnd"/>
            <w:r w:rsidRPr="007546C8">
              <w:t xml:space="preserve"> </w:t>
            </w:r>
            <w:r w:rsidRPr="007546C8">
              <w:rPr>
                <w:vertAlign w:val="superscript"/>
              </w:rPr>
              <w:t>(2)</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6,5</w:t>
            </w:r>
          </w:p>
        </w:tc>
        <w:tc>
          <w:tcPr>
            <w:tcW w:w="1275" w:type="dxa"/>
            <w:shd w:val="clear" w:color="auto" w:fill="auto"/>
            <w:vAlign w:val="center"/>
          </w:tcPr>
          <w:p w:rsidR="00DF516E" w:rsidRPr="007546C8" w:rsidRDefault="00DF516E" w:rsidP="00C52368">
            <w:pPr>
              <w:jc w:val="center"/>
            </w:pPr>
            <w:r w:rsidRPr="007546C8">
              <w:t>7,8</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 xml:space="preserve">Amonyum </w:t>
            </w:r>
            <w:r w:rsidRPr="007546C8">
              <w:rPr>
                <w:vertAlign w:val="superscript"/>
              </w:rPr>
              <w:t>(2)</w:t>
            </w:r>
            <w:r w:rsidRPr="007546C8">
              <w:rPr>
                <w:b/>
                <w:bCs/>
                <w:vertAlign w:val="superscript"/>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0,5</w:t>
            </w:r>
          </w:p>
        </w:tc>
      </w:tr>
      <w:tr w:rsidR="00DF516E" w:rsidRPr="007546C8" w:rsidTr="00C52368">
        <w:trPr>
          <w:trHeight w:val="421"/>
        </w:trPr>
        <w:tc>
          <w:tcPr>
            <w:tcW w:w="3528" w:type="dxa"/>
            <w:shd w:val="clear" w:color="auto" w:fill="auto"/>
            <w:vAlign w:val="center"/>
          </w:tcPr>
          <w:p w:rsidR="00DF516E" w:rsidRPr="007546C8" w:rsidRDefault="00DF516E" w:rsidP="00C52368">
            <w:proofErr w:type="spellStart"/>
            <w:r w:rsidRPr="007546C8">
              <w:t>Nitrit</w:t>
            </w:r>
            <w:proofErr w:type="spellEnd"/>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0,5</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Nitrat</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50</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Bakır</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1</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Alüminyum</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0,2</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 xml:space="preserve">Toplam </w:t>
            </w:r>
            <w:proofErr w:type="spellStart"/>
            <w:r w:rsidRPr="007546C8">
              <w:t>alkalinite</w:t>
            </w:r>
            <w:proofErr w:type="spellEnd"/>
            <w:r w:rsidRPr="007546C8">
              <w:t xml:space="preserve"> </w:t>
            </w:r>
            <w:r w:rsidRPr="007546C8">
              <w:rPr>
                <w:vertAlign w:val="superscript"/>
              </w:rPr>
              <w:t xml:space="preserve">(2) </w:t>
            </w:r>
            <w:r w:rsidRPr="007546C8">
              <w:t>(CaCO3)</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30</w:t>
            </w:r>
          </w:p>
        </w:tc>
        <w:tc>
          <w:tcPr>
            <w:tcW w:w="1275" w:type="dxa"/>
            <w:shd w:val="clear" w:color="auto" w:fill="auto"/>
            <w:vAlign w:val="center"/>
          </w:tcPr>
          <w:p w:rsidR="00DF516E" w:rsidRPr="007546C8" w:rsidRDefault="00DF516E" w:rsidP="00C52368">
            <w:pPr>
              <w:jc w:val="center"/>
            </w:pPr>
            <w:r w:rsidRPr="007546C8">
              <w:t>180</w:t>
            </w:r>
          </w:p>
        </w:tc>
      </w:tr>
      <w:tr w:rsidR="00DF516E" w:rsidRPr="007546C8" w:rsidTr="00C52368">
        <w:trPr>
          <w:trHeight w:val="421"/>
        </w:trPr>
        <w:tc>
          <w:tcPr>
            <w:tcW w:w="3528" w:type="dxa"/>
            <w:shd w:val="clear" w:color="auto" w:fill="auto"/>
            <w:vAlign w:val="center"/>
          </w:tcPr>
          <w:p w:rsidR="00DF516E" w:rsidRPr="007546C8" w:rsidRDefault="00DF516E" w:rsidP="00C52368">
            <w:r w:rsidRPr="007546C8">
              <w:t xml:space="preserve">Bağlı klor </w:t>
            </w:r>
            <w:r w:rsidRPr="007546C8">
              <w:rPr>
                <w:vertAlign w:val="superscript"/>
              </w:rPr>
              <w:t>(3)</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p>
        </w:tc>
        <w:tc>
          <w:tcPr>
            <w:tcW w:w="1275" w:type="dxa"/>
            <w:shd w:val="clear" w:color="auto" w:fill="auto"/>
            <w:vAlign w:val="center"/>
          </w:tcPr>
          <w:p w:rsidR="00DF516E" w:rsidRPr="007546C8" w:rsidRDefault="00DF516E" w:rsidP="00C52368">
            <w:pPr>
              <w:jc w:val="center"/>
            </w:pPr>
            <w:r w:rsidRPr="007546C8">
              <w:t>0,2</w:t>
            </w:r>
          </w:p>
        </w:tc>
      </w:tr>
      <w:tr w:rsidR="00DF516E" w:rsidRPr="007546C8" w:rsidTr="00C52368">
        <w:trPr>
          <w:trHeight w:val="354"/>
        </w:trPr>
        <w:tc>
          <w:tcPr>
            <w:tcW w:w="3528" w:type="dxa"/>
            <w:shd w:val="clear" w:color="auto" w:fill="auto"/>
            <w:vAlign w:val="center"/>
          </w:tcPr>
          <w:p w:rsidR="00DF516E" w:rsidRPr="007546C8" w:rsidRDefault="00DF516E" w:rsidP="00C52368">
            <w:r w:rsidRPr="007546C8">
              <w:t>Kapalı yüzme havuzu</w:t>
            </w:r>
            <w:r w:rsidRPr="007546C8">
              <w:rPr>
                <w:bCs/>
              </w:rPr>
              <w:t xml:space="preserve"> suyu s</w:t>
            </w:r>
            <w:r w:rsidRPr="007546C8">
              <w:t xml:space="preserve">erbest klor </w:t>
            </w:r>
            <w:r w:rsidRPr="007546C8">
              <w:rPr>
                <w:vertAlign w:val="superscript"/>
              </w:rPr>
              <w:t>(3)</w:t>
            </w:r>
            <w:r w:rsidRPr="007546C8">
              <w:rPr>
                <w:b/>
                <w:bCs/>
              </w:rPr>
              <w:t xml:space="preserve"> </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1</w:t>
            </w:r>
          </w:p>
        </w:tc>
        <w:tc>
          <w:tcPr>
            <w:tcW w:w="1275" w:type="dxa"/>
            <w:shd w:val="clear" w:color="auto" w:fill="auto"/>
            <w:vAlign w:val="center"/>
          </w:tcPr>
          <w:p w:rsidR="00DF516E" w:rsidRPr="007546C8" w:rsidRDefault="00DF516E" w:rsidP="00C52368">
            <w:pPr>
              <w:jc w:val="center"/>
            </w:pPr>
            <w:r w:rsidRPr="007546C8">
              <w:t>1,5</w:t>
            </w:r>
          </w:p>
        </w:tc>
      </w:tr>
      <w:tr w:rsidR="00DF516E" w:rsidRPr="007546C8" w:rsidTr="00C52368">
        <w:trPr>
          <w:trHeight w:val="388"/>
        </w:trPr>
        <w:tc>
          <w:tcPr>
            <w:tcW w:w="3528" w:type="dxa"/>
            <w:shd w:val="clear" w:color="auto" w:fill="auto"/>
            <w:vAlign w:val="center"/>
          </w:tcPr>
          <w:p w:rsidR="00DF516E" w:rsidRPr="007546C8" w:rsidRDefault="00DF516E" w:rsidP="00C52368">
            <w:r w:rsidRPr="007546C8">
              <w:t>Açık yüzme havuzu suyu</w:t>
            </w:r>
            <w:r w:rsidRPr="007546C8">
              <w:rPr>
                <w:b/>
                <w:bCs/>
              </w:rPr>
              <w:t xml:space="preserve"> </w:t>
            </w:r>
            <w:r w:rsidRPr="007546C8">
              <w:t>serbest klor</w:t>
            </w:r>
            <w:r w:rsidRPr="007546C8">
              <w:rPr>
                <w:b/>
                <w:vertAlign w:val="superscript"/>
              </w:rPr>
              <w:t>3</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1</w:t>
            </w:r>
          </w:p>
        </w:tc>
        <w:tc>
          <w:tcPr>
            <w:tcW w:w="1275" w:type="dxa"/>
            <w:shd w:val="clear" w:color="auto" w:fill="auto"/>
            <w:vAlign w:val="center"/>
          </w:tcPr>
          <w:p w:rsidR="00DF516E" w:rsidRPr="007546C8" w:rsidRDefault="00DF516E" w:rsidP="00C52368">
            <w:pPr>
              <w:jc w:val="center"/>
            </w:pPr>
            <w:r w:rsidRPr="007546C8">
              <w:t>3</w:t>
            </w:r>
          </w:p>
        </w:tc>
      </w:tr>
      <w:tr w:rsidR="00DF516E" w:rsidRPr="007546C8" w:rsidTr="00C52368">
        <w:trPr>
          <w:trHeight w:val="408"/>
        </w:trPr>
        <w:tc>
          <w:tcPr>
            <w:tcW w:w="3528" w:type="dxa"/>
            <w:shd w:val="clear" w:color="auto" w:fill="auto"/>
            <w:vAlign w:val="center"/>
          </w:tcPr>
          <w:p w:rsidR="00DF516E" w:rsidRPr="007546C8" w:rsidRDefault="00DF516E" w:rsidP="00C52368">
            <w:r w:rsidRPr="007546C8">
              <w:t xml:space="preserve">Serbest klor </w:t>
            </w:r>
            <w:r w:rsidRPr="007546C8">
              <w:rPr>
                <w:vertAlign w:val="superscript"/>
              </w:rPr>
              <w:t>(</w:t>
            </w:r>
            <w:r w:rsidRPr="007546C8">
              <w:rPr>
                <w:b/>
                <w:vertAlign w:val="superscript"/>
              </w:rPr>
              <w:t>4)</w:t>
            </w:r>
          </w:p>
        </w:tc>
        <w:tc>
          <w:tcPr>
            <w:tcW w:w="1874" w:type="dxa"/>
            <w:vMerge/>
            <w:shd w:val="clear" w:color="auto" w:fill="auto"/>
            <w:vAlign w:val="center"/>
          </w:tcPr>
          <w:p w:rsidR="00DF516E" w:rsidRPr="007546C8" w:rsidRDefault="00DF516E" w:rsidP="00C52368"/>
        </w:tc>
        <w:tc>
          <w:tcPr>
            <w:tcW w:w="1276" w:type="dxa"/>
            <w:vMerge/>
            <w:shd w:val="clear" w:color="auto" w:fill="auto"/>
            <w:vAlign w:val="center"/>
          </w:tcPr>
          <w:p w:rsidR="00DF516E" w:rsidRPr="007546C8" w:rsidRDefault="00DF516E" w:rsidP="00C52368">
            <w:pPr>
              <w:jc w:val="center"/>
            </w:pPr>
          </w:p>
        </w:tc>
        <w:tc>
          <w:tcPr>
            <w:tcW w:w="1134" w:type="dxa"/>
            <w:shd w:val="clear" w:color="auto" w:fill="auto"/>
            <w:vAlign w:val="center"/>
          </w:tcPr>
          <w:p w:rsidR="00DF516E" w:rsidRPr="007546C8" w:rsidRDefault="00DF516E" w:rsidP="00C52368">
            <w:pPr>
              <w:jc w:val="center"/>
            </w:pPr>
            <w:r w:rsidRPr="007546C8">
              <w:t>0,3</w:t>
            </w:r>
          </w:p>
        </w:tc>
        <w:tc>
          <w:tcPr>
            <w:tcW w:w="1275" w:type="dxa"/>
            <w:shd w:val="clear" w:color="auto" w:fill="auto"/>
            <w:vAlign w:val="center"/>
          </w:tcPr>
          <w:p w:rsidR="00DF516E" w:rsidRPr="007546C8" w:rsidRDefault="00DF516E" w:rsidP="00C52368">
            <w:pPr>
              <w:jc w:val="center"/>
            </w:pPr>
            <w:r w:rsidRPr="007546C8">
              <w:t>0,6</w:t>
            </w:r>
          </w:p>
        </w:tc>
      </w:tr>
    </w:tbl>
    <w:p w:rsidR="00712BC2" w:rsidRPr="005A73CB" w:rsidRDefault="00DF516E" w:rsidP="00DF516E">
      <w:pPr>
        <w:rPr>
          <w:rFonts w:eastAsia="Times New Roman" w:cs="Times New Roman"/>
          <w:sz w:val="24"/>
        </w:rPr>
      </w:pPr>
      <w:r w:rsidRPr="007546C8">
        <w:rPr>
          <w:vertAlign w:val="superscript"/>
        </w:rPr>
        <w:t xml:space="preserve">(1) </w:t>
      </w:r>
      <w:r w:rsidRPr="007546C8">
        <w:t xml:space="preserve">Suyun dezenfeksiyonunda </w:t>
      </w:r>
      <w:proofErr w:type="spellStart"/>
      <w:r w:rsidRPr="007546C8">
        <w:t>stabilizatörlü</w:t>
      </w:r>
      <w:proofErr w:type="spellEnd"/>
      <w:r w:rsidRPr="007546C8">
        <w:t xml:space="preserve"> klor bileşiklerinin kullanıldığı havuzlarda bakılır.  </w:t>
      </w:r>
      <w:r>
        <w:br/>
      </w:r>
      <w:r w:rsidRPr="007546C8">
        <w:rPr>
          <w:vertAlign w:val="superscript"/>
        </w:rPr>
        <w:t xml:space="preserve">(2) </w:t>
      </w:r>
      <w:r w:rsidRPr="007546C8">
        <w:t xml:space="preserve">Suyun dezenfeksiyonunda “hidrojen peroksit + </w:t>
      </w:r>
      <w:proofErr w:type="spellStart"/>
      <w:r w:rsidRPr="007546C8">
        <w:t>biguanide</w:t>
      </w:r>
      <w:proofErr w:type="spellEnd"/>
      <w:r w:rsidRPr="007546C8">
        <w:t xml:space="preserve">” kullanılması halinde hidrojen peroksit 40-80 </w:t>
      </w:r>
      <w:proofErr w:type="gramStart"/>
      <w:r w:rsidRPr="007546C8">
        <w:t>aralığında</w:t>
      </w:r>
      <w:proofErr w:type="gramEnd"/>
      <w:r w:rsidRPr="007546C8">
        <w:t xml:space="preserve"> olmalıdır. Bu durumda </w:t>
      </w:r>
      <w:proofErr w:type="spellStart"/>
      <w:r w:rsidRPr="007546C8">
        <w:t>pH</w:t>
      </w:r>
      <w:proofErr w:type="spellEnd"/>
      <w:r w:rsidRPr="007546C8">
        <w:t xml:space="preserve"> 8,</w:t>
      </w:r>
      <w:proofErr w:type="gramStart"/>
      <w:r w:rsidRPr="007546C8">
        <w:t>2 , amonyum</w:t>
      </w:r>
      <w:proofErr w:type="gramEnd"/>
      <w:r w:rsidRPr="007546C8">
        <w:t xml:space="preserve"> 1,5 ve toplam </w:t>
      </w:r>
      <w:proofErr w:type="spellStart"/>
      <w:r w:rsidRPr="007546C8">
        <w:t>alkalinite</w:t>
      </w:r>
      <w:proofErr w:type="spellEnd"/>
      <w:r w:rsidRPr="007546C8">
        <w:t xml:space="preserve"> 220 düzeyine kadar uygun kabul edilir. Bu havuzlarda serbest klor ölçümü yapılmaz, hidrojen peroksit ve </w:t>
      </w:r>
      <w:proofErr w:type="spellStart"/>
      <w:r w:rsidRPr="007546C8">
        <w:t>biguanide</w:t>
      </w:r>
      <w:proofErr w:type="spellEnd"/>
      <w:r w:rsidRPr="007546C8">
        <w:t xml:space="preserve"> ölçümü yapılır. </w:t>
      </w:r>
      <w:r>
        <w:br/>
      </w:r>
      <w:r w:rsidRPr="007546C8">
        <w:rPr>
          <w:vertAlign w:val="superscript"/>
        </w:rPr>
        <w:t xml:space="preserve">(3) </w:t>
      </w:r>
      <w:r w:rsidRPr="007546C8">
        <w:t xml:space="preserve">Suyun dezenfeksiyonunda klor ve klorlu bileşiklerin kullanıldığı havuzlarda bakılır. </w:t>
      </w:r>
      <w:r>
        <w:br/>
      </w:r>
      <w:r w:rsidRPr="007546C8">
        <w:rPr>
          <w:vertAlign w:val="superscript"/>
        </w:rPr>
        <w:t xml:space="preserve">(4) </w:t>
      </w:r>
      <w:r w:rsidRPr="007546C8">
        <w:t xml:space="preserve">Suyun dezenfeksiyonu için ozon, UV, </w:t>
      </w:r>
      <w:proofErr w:type="spellStart"/>
      <w:r w:rsidRPr="007546C8">
        <w:t>klordioksit</w:t>
      </w:r>
      <w:proofErr w:type="spellEnd"/>
      <w:r w:rsidRPr="007546C8">
        <w:t xml:space="preserve"> ve diğer dezenfeksiyon sistemlerinin kullanıldığı havuzlarda aranacak düzeydir.  </w:t>
      </w:r>
      <w:bookmarkStart w:id="0" w:name="_GoBack"/>
      <w:bookmarkEnd w:id="0"/>
      <w:r>
        <w:br/>
      </w:r>
      <w:r w:rsidRPr="00DF516E">
        <w:rPr>
          <w:color w:val="FF0000"/>
        </w:rPr>
        <w:t xml:space="preserve">NOT: </w:t>
      </w:r>
      <w:r w:rsidRPr="007546C8">
        <w:t xml:space="preserve">Hidrojen peroksit, </w:t>
      </w:r>
      <w:proofErr w:type="spellStart"/>
      <w:r w:rsidRPr="007546C8">
        <w:t>biguanide</w:t>
      </w:r>
      <w:proofErr w:type="spellEnd"/>
      <w:r w:rsidRPr="007546C8">
        <w:t xml:space="preserve"> ve serbest klor ölçümleri havuz mahallinde yapılır.</w:t>
      </w:r>
    </w:p>
    <w:sectPr w:rsidR="00712BC2" w:rsidRPr="005A73CB" w:rsidSect="00893723">
      <w:headerReference w:type="default" r:id="rId7"/>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4A" w:rsidRDefault="0006164A" w:rsidP="00893723">
      <w:pPr>
        <w:spacing w:before="0" w:after="0" w:line="240" w:lineRule="auto"/>
      </w:pPr>
      <w:r>
        <w:separator/>
      </w:r>
    </w:p>
  </w:endnote>
  <w:endnote w:type="continuationSeparator" w:id="0">
    <w:p w:rsidR="0006164A" w:rsidRDefault="0006164A"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4A" w:rsidRDefault="0006164A" w:rsidP="00893723">
      <w:pPr>
        <w:spacing w:before="0" w:after="0" w:line="240" w:lineRule="auto"/>
      </w:pPr>
      <w:r>
        <w:separator/>
      </w:r>
    </w:p>
  </w:footnote>
  <w:footnote w:type="continuationSeparator" w:id="0">
    <w:p w:rsidR="0006164A" w:rsidRDefault="0006164A" w:rsidP="008937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23" w:rsidRDefault="00893723" w:rsidP="00893723">
    <w:pPr>
      <w:pStyle w:val="stBilgi"/>
      <w:jc w:val="center"/>
    </w:pPr>
    <w:r>
      <w:rPr>
        <w:noProof/>
        <w:lang w:val="en-US"/>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19E"/>
    <w:multiLevelType w:val="hybridMultilevel"/>
    <w:tmpl w:val="682490DE"/>
    <w:lvl w:ilvl="0" w:tplc="108C15FA">
      <w:start w:val="1"/>
      <w:numFmt w:val="decimal"/>
      <w:lvlText w:val="(%1)"/>
      <w:lvlJc w:val="left"/>
      <w:pPr>
        <w:ind w:left="450" w:hanging="39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2" w15:restartNumberingAfterBreak="0">
    <w:nsid w:val="0C8A3590"/>
    <w:multiLevelType w:val="multilevel"/>
    <w:tmpl w:val="0CDCB2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4B70A8"/>
    <w:multiLevelType w:val="multilevel"/>
    <w:tmpl w:val="3C225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23"/>
    <w:rsid w:val="000022EB"/>
    <w:rsid w:val="00030E58"/>
    <w:rsid w:val="0006164A"/>
    <w:rsid w:val="00130DC2"/>
    <w:rsid w:val="00220850"/>
    <w:rsid w:val="0032449A"/>
    <w:rsid w:val="00361339"/>
    <w:rsid w:val="003A77A7"/>
    <w:rsid w:val="005473FD"/>
    <w:rsid w:val="005A73CB"/>
    <w:rsid w:val="00712BC2"/>
    <w:rsid w:val="007C2610"/>
    <w:rsid w:val="00846D92"/>
    <w:rsid w:val="00893723"/>
    <w:rsid w:val="00915927"/>
    <w:rsid w:val="00B13974"/>
    <w:rsid w:val="00DF516E"/>
    <w:rsid w:val="00F7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FCE2"/>
  <w15:chartTrackingRefBased/>
  <w15:docId w15:val="{904A77FC-D3D0-4910-8F2F-7B617D6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yaz">
    <w:name w:val="Subtitle"/>
    <w:basedOn w:val="Normal"/>
    <w:next w:val="Normal"/>
    <w:link w:val="AltyazChar"/>
    <w:uiPriority w:val="11"/>
    <w:qFormat/>
    <w:rsid w:val="00893723"/>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Alnt">
    <w:name w:val="Quote"/>
    <w:basedOn w:val="Normal"/>
    <w:next w:val="Normal"/>
    <w:link w:val="AlntChar"/>
    <w:uiPriority w:val="29"/>
    <w:qFormat/>
    <w:rsid w:val="00893723"/>
    <w:rPr>
      <w:i/>
      <w:iCs/>
      <w:sz w:val="24"/>
      <w:szCs w:val="24"/>
    </w:rPr>
  </w:style>
  <w:style w:type="character" w:customStyle="1" w:styleId="AlntChar">
    <w:name w:val="Alıntı Char"/>
    <w:basedOn w:val="VarsaylanParagrafYazTipi"/>
    <w:link w:val="Alnt"/>
    <w:uiPriority w:val="29"/>
    <w:rsid w:val="00893723"/>
    <w:rPr>
      <w:i/>
      <w:iCs/>
      <w:sz w:val="24"/>
      <w:szCs w:val="24"/>
    </w:rPr>
  </w:style>
  <w:style w:type="paragraph" w:styleId="GlAlnt">
    <w:name w:val="Intense Quote"/>
    <w:basedOn w:val="Normal"/>
    <w:next w:val="Normal"/>
    <w:link w:val="GlAlntChar"/>
    <w:uiPriority w:val="30"/>
    <w:qFormat/>
    <w:rsid w:val="00893723"/>
    <w:pPr>
      <w:spacing w:before="240" w:after="240" w:line="240" w:lineRule="auto"/>
      <w:ind w:left="1080" w:right="1080"/>
      <w:jc w:val="center"/>
    </w:pPr>
    <w:rPr>
      <w:color w:val="1CADE4" w:themeColor="accent1"/>
      <w:sz w:val="24"/>
      <w:szCs w:val="24"/>
    </w:rPr>
  </w:style>
  <w:style w:type="character" w:customStyle="1" w:styleId="GlAlntChar">
    <w:name w:val="Güçlü Alıntı Char"/>
    <w:basedOn w:val="VarsaylanParagrafYazTipi"/>
    <w:link w:val="GlAlnt"/>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93723"/>
  </w:style>
  <w:style w:type="paragraph" w:styleId="GvdeMetni">
    <w:name w:val="Body Text"/>
    <w:basedOn w:val="Normal"/>
    <w:link w:val="GvdeMetniChar"/>
    <w:rsid w:val="00DF516E"/>
    <w:pPr>
      <w:spacing w:before="0"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F51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Windows User</cp:lastModifiedBy>
  <cp:revision>3</cp:revision>
  <dcterms:created xsi:type="dcterms:W3CDTF">2017-10-23T12:26:00Z</dcterms:created>
  <dcterms:modified xsi:type="dcterms:W3CDTF">2017-10-23T12:27:00Z</dcterms:modified>
</cp:coreProperties>
</file>